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1E2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2D95C5C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5D08149" w14:textId="05DE721A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№ </w:t>
      </w:r>
      <w:r w:rsidR="005D266A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 от </w:t>
      </w:r>
      <w:r w:rsidR="005D266A">
        <w:rPr>
          <w:rFonts w:ascii="Times New Roman" w:hAnsi="Times New Roman"/>
          <w:bCs/>
        </w:rPr>
        <w:t xml:space="preserve">07 мая </w:t>
      </w:r>
      <w:r>
        <w:rPr>
          <w:rFonts w:ascii="Times New Roman" w:hAnsi="Times New Roman"/>
          <w:bCs/>
        </w:rPr>
        <w:t>202</w:t>
      </w:r>
      <w:r w:rsidR="00A41B4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78FAB84B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>31 405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 000,00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сто 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тридцать один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5D26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четыреста пять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C1915">
        <w:rPr>
          <w:rFonts w:ascii="Times New Roman" w:hAnsi="Times New Roman"/>
          <w:b/>
          <w:bCs/>
          <w:sz w:val="28"/>
          <w:szCs w:val="28"/>
        </w:rPr>
        <w:t>ей 00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542F3035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>81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AC3B6A">
        <w:rPr>
          <w:rFonts w:ascii="Times New Roman" w:hAnsi="Times New Roman"/>
          <w:b/>
          <w:color w:val="000000" w:themeColor="text1"/>
          <w:sz w:val="28"/>
          <w:szCs w:val="28"/>
        </w:rPr>
        <w:t>восемьдесят один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A53861" w14:textId="200E4010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первое </w:t>
      </w:r>
      <w:r w:rsidRPr="00FA0A1C">
        <w:rPr>
          <w:rFonts w:ascii="Times New Roman" w:hAnsi="Times New Roman"/>
          <w:sz w:val="28"/>
          <w:szCs w:val="28"/>
        </w:rPr>
        <w:lastRenderedPageBreak/>
        <w:t>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564A" w14:textId="77777777" w:rsidR="002A7C41" w:rsidRDefault="002A7C41" w:rsidP="00143028">
      <w:pPr>
        <w:spacing w:after="0" w:line="240" w:lineRule="auto"/>
      </w:pPr>
      <w:r>
        <w:separator/>
      </w:r>
    </w:p>
  </w:endnote>
  <w:endnote w:type="continuationSeparator" w:id="0">
    <w:p w14:paraId="7226D71F" w14:textId="77777777" w:rsidR="002A7C41" w:rsidRDefault="002A7C41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D077" w14:textId="77777777" w:rsidR="002A7C41" w:rsidRDefault="002A7C41" w:rsidP="00143028">
      <w:pPr>
        <w:spacing w:after="0" w:line="240" w:lineRule="auto"/>
      </w:pPr>
      <w:r>
        <w:separator/>
      </w:r>
    </w:p>
  </w:footnote>
  <w:footnote w:type="continuationSeparator" w:id="0">
    <w:p w14:paraId="14108641" w14:textId="77777777" w:rsidR="002A7C41" w:rsidRDefault="002A7C41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7695"/>
    <w:rsid w:val="00247943"/>
    <w:rsid w:val="0027611F"/>
    <w:rsid w:val="00283053"/>
    <w:rsid w:val="002837A7"/>
    <w:rsid w:val="0029554A"/>
    <w:rsid w:val="002A7C41"/>
    <w:rsid w:val="002E0A13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51CB6"/>
    <w:rsid w:val="00554FA3"/>
    <w:rsid w:val="005641AB"/>
    <w:rsid w:val="0059493F"/>
    <w:rsid w:val="005B0F7F"/>
    <w:rsid w:val="005B1E11"/>
    <w:rsid w:val="005C66FD"/>
    <w:rsid w:val="005D266A"/>
    <w:rsid w:val="005E6693"/>
    <w:rsid w:val="005F1A78"/>
    <w:rsid w:val="006027B4"/>
    <w:rsid w:val="00615200"/>
    <w:rsid w:val="00621F22"/>
    <w:rsid w:val="00626191"/>
    <w:rsid w:val="00626428"/>
    <w:rsid w:val="006517C0"/>
    <w:rsid w:val="00662CF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41B49"/>
    <w:rsid w:val="00A46EB6"/>
    <w:rsid w:val="00A532BB"/>
    <w:rsid w:val="00A8348B"/>
    <w:rsid w:val="00A87F6A"/>
    <w:rsid w:val="00AB1A89"/>
    <w:rsid w:val="00AC1915"/>
    <w:rsid w:val="00AC3B6A"/>
    <w:rsid w:val="00AD79F1"/>
    <w:rsid w:val="00AE6F10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24063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745D"/>
    <w:rsid w:val="00E31324"/>
    <w:rsid w:val="00E603C1"/>
    <w:rsid w:val="00E66129"/>
    <w:rsid w:val="00E80E16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17</cp:revision>
  <cp:lastPrinted>2024-05-06T15:02:00Z</cp:lastPrinted>
  <dcterms:created xsi:type="dcterms:W3CDTF">2023-04-12T13:55:00Z</dcterms:created>
  <dcterms:modified xsi:type="dcterms:W3CDTF">2024-05-06T15:02:00Z</dcterms:modified>
</cp:coreProperties>
</file>